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  <w:lang w:eastAsia="zh-CN"/>
        </w:rPr>
        <w:t>机车车辆</w:t>
      </w:r>
      <w:r>
        <w:rPr>
          <w:rFonts w:hint="eastAsia" w:ascii="宋体" w:hAnsi="宋体"/>
          <w:b/>
          <w:sz w:val="28"/>
          <w:szCs w:val="28"/>
        </w:rPr>
        <w:t>学院学生仪容仪表管理规定</w:t>
      </w:r>
    </w:p>
    <w:p>
      <w:pPr>
        <w:ind w:firstLine="525" w:firstLineChars="250"/>
        <w:jc w:val="center"/>
        <w:rPr>
          <w:rFonts w:hint="eastAsia" w:ascii="宋体" w:hAnsi="宋体"/>
          <w:szCs w:val="21"/>
        </w:rPr>
      </w:pPr>
    </w:p>
    <w:p>
      <w:pPr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仪容仪表是个人精神面貌的外在表现。良好的仪容仪表可以给人留下美好而深刻的印象，既有利于学习，也有利于塑造良好的企业形象。为使学生在校期间塑造良好的职业形象，增强就业竞争力，特制定本仪容、仪表规范。</w:t>
      </w: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一、学生服饰、发型等外在形象应大方、整洁，精神饱满、富有朝气。</w:t>
      </w: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二、在校园内（宿舍内除外）不得穿拖鞋、背心，衣服纽扣要齐全扣好，不可敞胸露怀，不可卷袖子和裤脚。不穿奇异服装等。</w:t>
      </w: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三、正常早操及上课期间按规定统一着装。</w:t>
      </w: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四、学生不准染、烫发，不剪怪异发型。男生不得戴耳坠、不留长胡须、长发，发角不过耳、领，女生或留短发，或长发束起，不准披头散发。</w:t>
      </w: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五、女生化妆应自然、协调，不准化浓妆，不宜使用香水和香粉。</w:t>
      </w: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六、学生在校园内不得佩戴首饰。</w:t>
      </w:r>
    </w:p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机车车辆学院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>机车车辆学院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51961"/>
    <w:rsid w:val="03931C39"/>
    <w:rsid w:val="51EA338B"/>
    <w:rsid w:val="70B519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2015-11-17T08:38:00Z</dcterms:created>
  <dc:creator>cc 15 5 13</dc:creator>
  <lastModifiedBy>cc 15 5 13</lastModifiedBy>
  <dcterms:modified xsi:type="dcterms:W3CDTF">2015-11-17T09:12:57Z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